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72A4">
      <w:pPr>
        <w:pStyle w:val="a6"/>
        <w:spacing w:line="360" w:lineRule="auto"/>
        <w:rPr>
          <w:rFonts w:ascii="Tahoma" w:hAnsi="Tahoma"/>
          <w:bCs/>
          <w:sz w:val="32"/>
          <w:szCs w:val="20"/>
        </w:rPr>
      </w:pPr>
      <w:r>
        <w:rPr>
          <w:rFonts w:ascii="Tahoma" w:hAnsi="Tahoma"/>
          <w:bCs/>
          <w:color w:val="00B050"/>
          <w:sz w:val="28"/>
          <w:szCs w:val="22"/>
          <w:u w:val="single"/>
        </w:rPr>
        <w:t>ΧΡΗΜΑΤΟΟΙΚΟΝΟΜΙΚΕΣ ΚΑΤΑΣΤΑΣΕΙΣ ΚΑΙ ΠΡΟΣΑΡΤΗΜΑ</w:t>
      </w:r>
    </w:p>
    <w:p w:rsidR="00000000" w:rsidRDefault="000C57E7">
      <w:pPr>
        <w:pStyle w:val="a6"/>
        <w:spacing w:line="360" w:lineRule="auto"/>
        <w:rPr>
          <w:rFonts w:ascii="Tahoma" w:hAnsi="Tahoma"/>
          <w:bCs/>
          <w:sz w:val="32"/>
          <w:szCs w:val="20"/>
        </w:rPr>
      </w:pPr>
      <w:r>
        <w:rPr>
          <w:rFonts w:ascii="Tahoma" w:hAnsi="Tahoma"/>
          <w:bCs/>
          <w:color w:val="0000FF"/>
          <w:sz w:val="28"/>
          <w:szCs w:val="22"/>
          <w:u w:val="single"/>
        </w:rPr>
        <w:t>ΚΑΒΒΟΥΡΗΣ Δ ΚΑΙ ΥΙΟΙ Α.Ε.</w:t>
      </w:r>
      <w:r w:rsidR="00E472A4">
        <w:rPr>
          <w:rFonts w:ascii="Tahoma" w:hAnsi="Tahoma"/>
          <w:bCs/>
          <w:color w:val="0000FF"/>
          <w:sz w:val="28"/>
          <w:szCs w:val="22"/>
          <w:u w:val="single"/>
        </w:rPr>
        <w:t xml:space="preserve"> ΑΦΜ. </w:t>
      </w:r>
      <w:r>
        <w:rPr>
          <w:rFonts w:ascii="Tahoma" w:hAnsi="Tahoma"/>
          <w:bCs/>
          <w:color w:val="0000FF"/>
          <w:sz w:val="28"/>
          <w:szCs w:val="22"/>
          <w:u w:val="single"/>
        </w:rPr>
        <w:t>099896925</w:t>
      </w:r>
      <w:r w:rsidR="00E472A4">
        <w:rPr>
          <w:rFonts w:ascii="Tahoma" w:hAnsi="Tahoma"/>
          <w:bCs/>
          <w:color w:val="0000FF"/>
          <w:sz w:val="28"/>
          <w:szCs w:val="22"/>
          <w:u w:val="single"/>
        </w:rPr>
        <w:t xml:space="preserve"> αφορά περίοδο χρήσης </w:t>
      </w:r>
      <w:r>
        <w:rPr>
          <w:rFonts w:ascii="Tahoma" w:hAnsi="Tahoma"/>
          <w:bCs/>
          <w:color w:val="0000FF"/>
          <w:sz w:val="28"/>
          <w:szCs w:val="22"/>
          <w:u w:val="single"/>
        </w:rPr>
        <w:t>από 01/01/2019 έως 31/12/2019</w:t>
      </w:r>
      <w:r w:rsidR="00E472A4">
        <w:rPr>
          <w:rFonts w:ascii="Tahoma" w:hAnsi="Tahoma"/>
          <w:bCs/>
          <w:color w:val="0000FF"/>
          <w:sz w:val="28"/>
          <w:szCs w:val="22"/>
          <w:u w:val="single"/>
        </w:rPr>
        <w:t xml:space="preserve"> – Αρ. Γ.E.ΜΗ. : </w:t>
      </w:r>
      <w:r>
        <w:rPr>
          <w:rFonts w:ascii="Tahoma" w:hAnsi="Tahoma"/>
          <w:bCs/>
          <w:color w:val="0000FF"/>
          <w:sz w:val="28"/>
          <w:szCs w:val="22"/>
          <w:u w:val="single"/>
        </w:rPr>
        <w:t>18689739000</w:t>
      </w:r>
    </w:p>
    <w:p w:rsidR="00000000" w:rsidRDefault="00E472A4">
      <w:pPr>
        <w:pStyle w:val="a3"/>
        <w:rPr>
          <w:rFonts w:ascii="Tahoma" w:hAnsi="Tahoma" w:cs="Tahoma"/>
          <w:szCs w:val="20"/>
        </w:rPr>
      </w:pPr>
    </w:p>
    <w:p w:rsidR="00000000" w:rsidRDefault="00E472A4">
      <w:pPr>
        <w:spacing w:line="360" w:lineRule="auto"/>
        <w:ind w:firstLine="720"/>
        <w:jc w:val="both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 xml:space="preserve">Η ανωτέρω οικονομική οντότητα </w:t>
      </w:r>
      <w:r w:rsidR="000C57E7">
        <w:rPr>
          <w:rFonts w:ascii="Tahoma" w:hAnsi="Tahoma" w:cs="Tahoma"/>
          <w:b/>
          <w:bCs/>
          <w:sz w:val="28"/>
          <w:szCs w:val="20"/>
        </w:rPr>
        <w:t>ΑΝΩΝΥΜΗ ΕΤΑΙΡΕΙΑ</w:t>
      </w:r>
      <w:r>
        <w:rPr>
          <w:rFonts w:ascii="Tahoma" w:hAnsi="Tahoma" w:cs="Tahoma"/>
          <w:sz w:val="28"/>
          <w:szCs w:val="20"/>
        </w:rPr>
        <w:t xml:space="preserve"> νομικής μορφής με την επωνυμία </w:t>
      </w:r>
      <w:r w:rsidR="000C57E7">
        <w:rPr>
          <w:rFonts w:ascii="Tahoma" w:hAnsi="Tahoma" w:cs="Tahoma"/>
          <w:b/>
          <w:bCs/>
          <w:sz w:val="28"/>
          <w:szCs w:val="20"/>
        </w:rPr>
        <w:t>ΚΑΒΒΟΥΡΗΣ Δ ΚΑΙ ΥΙΟΙ Α.Ε.</w:t>
      </w:r>
      <w:r>
        <w:rPr>
          <w:rFonts w:ascii="Tahoma" w:hAnsi="Tahoma" w:cs="Tahoma"/>
          <w:sz w:val="28"/>
          <w:szCs w:val="20"/>
        </w:rPr>
        <w:t xml:space="preserve">  ΑΦΜ. </w:t>
      </w:r>
      <w:r w:rsidR="000C57E7">
        <w:rPr>
          <w:rFonts w:ascii="Tahoma" w:hAnsi="Tahoma" w:cs="Tahoma"/>
          <w:b/>
          <w:bCs/>
          <w:sz w:val="28"/>
          <w:szCs w:val="20"/>
        </w:rPr>
        <w:t>099896925</w:t>
      </w:r>
      <w:r>
        <w:rPr>
          <w:rFonts w:ascii="Tahoma" w:hAnsi="Tahoma" w:cs="Tahoma"/>
          <w:sz w:val="28"/>
          <w:szCs w:val="20"/>
        </w:rPr>
        <w:t xml:space="preserve"> και αριθμό Γ.Ε.ΜΗ. </w:t>
      </w:r>
      <w:r w:rsidR="000C57E7">
        <w:rPr>
          <w:rFonts w:ascii="Tahoma" w:hAnsi="Tahoma" w:cs="Tahoma"/>
          <w:b/>
          <w:bCs/>
          <w:sz w:val="28"/>
          <w:szCs w:val="20"/>
        </w:rPr>
        <w:t>18689739000</w:t>
      </w:r>
      <w:r>
        <w:rPr>
          <w:rFonts w:ascii="Tahoma" w:hAnsi="Tahoma" w:cs="Tahoma"/>
          <w:sz w:val="28"/>
          <w:szCs w:val="20"/>
        </w:rPr>
        <w:t xml:space="preserve"> επί της οδού </w:t>
      </w:r>
      <w:r w:rsidR="000C57E7">
        <w:rPr>
          <w:rFonts w:ascii="Tahoma" w:hAnsi="Tahoma" w:cs="Tahoma"/>
          <w:b/>
          <w:bCs/>
          <w:sz w:val="28"/>
          <w:szCs w:val="20"/>
        </w:rPr>
        <w:t>ΕΥΑΓΓΕΛΙΣΤΡΙΑΣ  25 23100 ΣΠΑΡΤΗ</w:t>
      </w:r>
      <w:r>
        <w:rPr>
          <w:rFonts w:ascii="Tahoma" w:hAnsi="Tahoma" w:cs="Tahoma"/>
          <w:sz w:val="28"/>
          <w:szCs w:val="20"/>
        </w:rPr>
        <w:t xml:space="preserve"> συνέταξε ατομικές χρηματοοικονομικές καταστάσεις πολύ μικρών οντοτήτων και κατάσταση αποτελεσμάτων χρήσης ( </w:t>
      </w:r>
      <w:r>
        <w:rPr>
          <w:rFonts w:ascii="Tahoma" w:hAnsi="Tahoma" w:cs="Tahoma"/>
          <w:b/>
          <w:bCs/>
          <w:sz w:val="28"/>
          <w:szCs w:val="20"/>
        </w:rPr>
        <w:t>Β5 και Β6</w:t>
      </w:r>
      <w:r>
        <w:rPr>
          <w:rFonts w:ascii="Tahoma" w:hAnsi="Tahoma" w:cs="Tahoma"/>
          <w:sz w:val="28"/>
          <w:szCs w:val="20"/>
        </w:rPr>
        <w:t xml:space="preserve"> ) που απεικονίζουν σύμφωνα με τον Νόμο τα οικονομικά στοιχεία και αφορούν περίοδο </w:t>
      </w:r>
      <w:r w:rsidR="000C57E7">
        <w:rPr>
          <w:rFonts w:ascii="Tahoma" w:hAnsi="Tahoma" w:cs="Tahoma"/>
          <w:b/>
          <w:bCs/>
          <w:sz w:val="28"/>
          <w:szCs w:val="20"/>
        </w:rPr>
        <w:t>από 01/01/2019 έως 31/12/2019</w:t>
      </w:r>
      <w:r>
        <w:rPr>
          <w:rFonts w:ascii="Tahoma" w:hAnsi="Tahoma" w:cs="Tahoma"/>
          <w:sz w:val="28"/>
          <w:szCs w:val="20"/>
        </w:rPr>
        <w:t>.</w:t>
      </w:r>
    </w:p>
    <w:tbl>
      <w:tblPr>
        <w:tblW w:w="10092" w:type="dxa"/>
        <w:tblCellMar>
          <w:left w:w="0" w:type="dxa"/>
          <w:right w:w="0" w:type="dxa"/>
        </w:tblCellMar>
        <w:tblLook w:val="0000"/>
      </w:tblPr>
      <w:tblGrid>
        <w:gridCol w:w="10100"/>
      </w:tblGrid>
      <w:tr w:rsidR="00000000">
        <w:trPr>
          <w:trHeight w:val="275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E472A4">
            <w:pPr>
              <w:pStyle w:val="1"/>
            </w:pPr>
          </w:p>
          <w:p w:rsidR="00000000" w:rsidRDefault="00E472A4">
            <w:pPr>
              <w:pStyle w:val="1"/>
              <w:rPr>
                <w:rFonts w:eastAsia="Arial Unicode MS"/>
              </w:rPr>
            </w:pPr>
            <w:r>
              <w:rPr>
                <w:color w:val="00B050"/>
              </w:rPr>
              <w:t>Ισολογισμός – Ατομικές χρηματοοικονομικέ</w:t>
            </w:r>
            <w:r>
              <w:rPr>
                <w:color w:val="00B050"/>
              </w:rPr>
              <w:t>ς καταστάσεις πολύ μικρών οντοτήτων</w:t>
            </w:r>
          </w:p>
        </w:tc>
      </w:tr>
      <w:tr w:rsidR="00000000">
        <w:trPr>
          <w:trHeight w:val="289"/>
        </w:trPr>
        <w:tc>
          <w:tcPr>
            <w:tcW w:w="10092" w:type="dxa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0C57E7">
            <w:pPr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>ΚΑΒΒΟΥΡΗΣ Δ ΚΑΙ ΥΙΟΙ Α.Ε.</w:t>
            </w:r>
            <w:r w:rsidR="00E472A4"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 xml:space="preserve"> Α.Φ.Μ. : 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>099896925</w:t>
            </w:r>
            <w:r w:rsidR="00E472A4"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 xml:space="preserve">, περιόδου 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>από 01/01/2019 έως 31/12/2019</w:t>
            </w:r>
            <w:r w:rsidR="00E472A4"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 xml:space="preserve"> , Γ.Ε.ΜΗ.: 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>18689739000</w:t>
            </w:r>
            <w:r w:rsidR="00E472A4"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 xml:space="preserve"> ποσά σε €</w:t>
            </w:r>
          </w:p>
          <w:p w:rsidR="00000000" w:rsidRDefault="00E472A4">
            <w:pPr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2"/>
              </w:rPr>
            </w:pPr>
          </w:p>
          <w:tbl>
            <w:tblPr>
              <w:tblW w:w="1016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283"/>
              <w:gridCol w:w="1477"/>
              <w:gridCol w:w="1695"/>
              <w:gridCol w:w="1350"/>
              <w:gridCol w:w="1355"/>
            </w:tblGrid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eastAsia="Arial Unicode MS" w:hAnsi="Tahoma" w:cs="Tahom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2019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2018</w:t>
                  </w: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Περιουσιακά στοιχεία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Πάγια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  <w:t>1.805.862,15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  <w:t>1.805.862,15</w:t>
                  </w: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Μείον: Αποσβεσμένα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749.346,93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706.931,07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 xml:space="preserve">Μείον: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Απομειωμένα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0,00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749.346,93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fr-FR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fr-FR"/>
                    </w:rPr>
                    <w:t>0,00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fr-FR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fr-FR"/>
                    </w:rPr>
                    <w:t>706.931,07</w:t>
                  </w:r>
                </w:p>
              </w:tc>
            </w:tr>
            <w:tr w:rsidR="00000000">
              <w:trPr>
                <w:trHeight w:val="2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fr-FR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  <w:lang w:val="fr-FR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  <w:lang w:val="fr-FR"/>
                    </w:rPr>
                    <w:t>1.056.515,22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fr-FR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  <w:lang w:val="fr-FR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  <w:lang w:val="fr-FR"/>
                    </w:rPr>
                    <w:t>1.098.931,08</w:t>
                  </w: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Αποθέματα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0,00</w:t>
                  </w: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Απαιτήσεις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63.854,65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21.578,54</w:t>
                  </w: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Προκαταβολές και έσοδα εισπρακτέα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  <w:t>0,00</w:t>
                  </w: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Ταμειακά διαθέσιμα και Ισοδύναμα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8.414,90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51.055,62</w:t>
                  </w:r>
                </w:p>
              </w:tc>
            </w:tr>
            <w:tr w:rsidR="00000000">
              <w:trPr>
                <w:trHeight w:val="268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pStyle w:val="2"/>
                  </w:pPr>
                  <w:r>
                    <w:t>Σύν</w:t>
                  </w:r>
                  <w:r>
                    <w:t>ολο ενεργητικού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  <w:lang w:val="en-US"/>
                    </w:rPr>
                    <w:t>1.128.784,77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  <w:lang w:val="en-US"/>
                    </w:rPr>
                    <w:t>1.171.565,24</w:t>
                  </w:r>
                </w:p>
              </w:tc>
            </w:tr>
            <w:tr w:rsidR="00000000">
              <w:trPr>
                <w:trHeight w:val="268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Καθαρή θέση και υποχρεώσεις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Κεφάλαια και αποθεματικά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571.304,87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612.082,81</w:t>
                  </w: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Μακροπρόθεσμες υποχρεώσεις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555.363,17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555.363,17</w:t>
                  </w:r>
                </w:p>
              </w:tc>
            </w:tr>
            <w:tr w:rsidR="00000000">
              <w:trPr>
                <w:trHeight w:val="253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Βραχυπρόθεσμες υποχρεώσεις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2.116,73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2"/>
                      <w:lang w:val="en-US"/>
                    </w:rPr>
                    <w:t>4.119,26</w:t>
                  </w:r>
                </w:p>
              </w:tc>
            </w:tr>
            <w:tr w:rsidR="00000000">
              <w:trPr>
                <w:trHeight w:val="268"/>
              </w:trPr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Σύνολο κ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αθαρής θέσης και υποχρεώσεων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  <w:lang w:val="en-US"/>
                    </w:rPr>
                    <w:t>1.128.784,77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2"/>
                    </w:rPr>
                    <w:t>1.171.565,24</w:t>
                  </w:r>
                </w:p>
              </w:tc>
            </w:tr>
          </w:tbl>
          <w:p w:rsidR="00000000" w:rsidRDefault="00E472A4">
            <w:pPr>
              <w:jc w:val="center"/>
              <w:rPr>
                <w:rFonts w:ascii="Tahoma" w:eastAsia="Arial Unicode MS" w:hAnsi="Tahoma" w:cs="Tahoma"/>
                <w:b/>
                <w:bCs/>
                <w:color w:val="000000"/>
                <w:sz w:val="28"/>
                <w:szCs w:val="22"/>
              </w:rPr>
            </w:pPr>
          </w:p>
        </w:tc>
      </w:tr>
    </w:tbl>
    <w:p w:rsidR="00000000" w:rsidRDefault="00E472A4">
      <w:pPr>
        <w:spacing w:line="360" w:lineRule="auto"/>
        <w:ind w:firstLine="720"/>
        <w:jc w:val="both"/>
      </w:pPr>
    </w:p>
    <w:p w:rsidR="00000000" w:rsidRDefault="00E472A4">
      <w:pPr>
        <w:spacing w:line="360" w:lineRule="auto"/>
        <w:jc w:val="both"/>
      </w:pPr>
    </w:p>
    <w:tbl>
      <w:tblPr>
        <w:tblW w:w="10275" w:type="dxa"/>
        <w:tblCellMar>
          <w:left w:w="0" w:type="dxa"/>
          <w:right w:w="0" w:type="dxa"/>
        </w:tblCellMar>
        <w:tblLook w:val="0000"/>
      </w:tblPr>
      <w:tblGrid>
        <w:gridCol w:w="10275"/>
      </w:tblGrid>
      <w:tr w:rsidR="00000000">
        <w:trPr>
          <w:trHeight w:val="275"/>
        </w:trPr>
        <w:tc>
          <w:tcPr>
            <w:tcW w:w="1027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E472A4">
            <w:pPr>
              <w:pStyle w:val="1"/>
              <w:rPr>
                <w:rFonts w:eastAsia="Arial Unicode MS"/>
              </w:rPr>
            </w:pPr>
            <w:r>
              <w:rPr>
                <w:color w:val="00B050"/>
              </w:rPr>
              <w:t>Κατάσταση Αποτελεσμάτων για πολύ μικρές οντότητες</w:t>
            </w:r>
          </w:p>
        </w:tc>
      </w:tr>
      <w:tr w:rsidR="00000000">
        <w:trPr>
          <w:trHeight w:val="289"/>
        </w:trPr>
        <w:tc>
          <w:tcPr>
            <w:tcW w:w="10275" w:type="dxa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0C57E7">
            <w:pPr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>ΚΑΒΒΟΥΡΗΣ Δ ΚΑΙ ΥΙΟΙ Α.Ε.</w:t>
            </w:r>
            <w:r w:rsidR="00E472A4"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 xml:space="preserve"> Α.Φ.Μ. : 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>099896925</w:t>
            </w:r>
            <w:r w:rsidR="00E472A4"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 xml:space="preserve">, περιόδου 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 xml:space="preserve">από 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lastRenderedPageBreak/>
              <w:t>01/01/2019 έως 31/12/2019</w:t>
            </w:r>
            <w:r w:rsidR="00E472A4"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 xml:space="preserve"> , Γ.Ε.ΜΗ.: 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>18689739000</w:t>
            </w:r>
            <w:r w:rsidR="00E472A4">
              <w:rPr>
                <w:rFonts w:ascii="Tahoma" w:hAnsi="Tahoma" w:cs="Tahoma"/>
                <w:b/>
                <w:bCs/>
                <w:color w:val="0000FF"/>
                <w:sz w:val="28"/>
                <w:szCs w:val="22"/>
                <w:u w:val="single"/>
              </w:rPr>
              <w:t xml:space="preserve"> ποσά σε €</w:t>
            </w:r>
          </w:p>
          <w:p w:rsidR="00000000" w:rsidRDefault="00E472A4">
            <w:pPr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2"/>
              </w:rPr>
            </w:pPr>
          </w:p>
          <w:tbl>
            <w:tblPr>
              <w:tblW w:w="1025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944"/>
              <w:gridCol w:w="2263"/>
              <w:gridCol w:w="2048"/>
            </w:tblGrid>
            <w:tr w:rsidR="00000000">
              <w:trPr>
                <w:trHeight w:val="391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Arial" w:eastAsia="Arial Unicode MS" w:hAnsi="Arial" w:cs="Arial Unicode MS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center"/>
                    <w:rPr>
                      <w:rFonts w:ascii="Arial" w:eastAsia="Arial Unicode MS" w:hAnsi="Arial" w:cs="Arial Unicode MS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2019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center"/>
                    <w:rPr>
                      <w:rFonts w:ascii="Arial" w:eastAsia="Arial Unicode MS" w:hAnsi="Arial" w:cs="Arial Unicode MS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2018</w:t>
                  </w:r>
                </w:p>
              </w:tc>
            </w:tr>
            <w:tr w:rsidR="00000000">
              <w:trPr>
                <w:trHeight w:val="290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ahoma" w:hAnsi="Tahoma" w:cs="Tahoma" w:hint="eastAsia"/>
                      <w:b/>
                      <w:bCs/>
                      <w:color w:val="000000"/>
                      <w:sz w:val="22"/>
                      <w:szCs w:val="22"/>
                    </w:rPr>
                    <w:t xml:space="preserve">Κύκλος εργασιών 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15.991,47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16.256,77</w:t>
                  </w:r>
                </w:p>
              </w:tc>
            </w:tr>
            <w:tr w:rsidR="00000000">
              <w:trPr>
                <w:trHeight w:val="275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Λοιπά σ</w:t>
                  </w: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υνήθη έσοδα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  <w:lang w:val="de-DE"/>
                    </w:rPr>
                    <w:t>12.253,24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  <w:lang w:val="de-DE"/>
                    </w:rPr>
                    <w:t>12.131,98</w:t>
                  </w:r>
                </w:p>
              </w:tc>
            </w:tr>
            <w:tr w:rsidR="00000000">
              <w:trPr>
                <w:trHeight w:val="550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 xml:space="preserve">Μεταβολές αποθεμάτων (εμπορεύματα, προϊόντα, </w:t>
                  </w:r>
                  <w:proofErr w:type="spellStart"/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ημικατ</w:t>
                  </w:r>
                  <w:proofErr w:type="spellEnd"/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/μένα)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000000">
              <w:trPr>
                <w:trHeight w:val="275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Αγορές εμπορευμάτων και υλικών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000000">
              <w:trPr>
                <w:trHeight w:val="275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Παροχές σε εργαζόμενους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000000">
              <w:trPr>
                <w:trHeight w:val="550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 xml:space="preserve">Αποσβέσεις ενσωμάτων παγίων και </w:t>
                  </w:r>
                  <w:proofErr w:type="spellStart"/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άϋλων</w:t>
                  </w:r>
                  <w:proofErr w:type="spellEnd"/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 xml:space="preserve"> στο</w:t>
                  </w: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ιχείων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-42.415,86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-42.415,86</w:t>
                  </w:r>
                </w:p>
              </w:tc>
            </w:tr>
            <w:tr w:rsidR="00000000">
              <w:trPr>
                <w:trHeight w:val="275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Λοιπά έξοδα και ζημιές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-26.580,94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-23.773,25</w:t>
                  </w:r>
                </w:p>
              </w:tc>
            </w:tr>
            <w:tr w:rsidR="00000000">
              <w:trPr>
                <w:trHeight w:val="275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Λοιπά έσοδα και κέρδη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000000">
              <w:trPr>
                <w:trHeight w:val="550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Τόκοι και συναφή κονδύλια (καθαρό ποσό)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-25,85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-16,40</w:t>
                  </w:r>
                </w:p>
              </w:tc>
            </w:tr>
            <w:tr w:rsidR="00000000">
              <w:trPr>
                <w:trHeight w:val="290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pStyle w:val="2"/>
                  </w:pPr>
                  <w:r>
                    <w:rPr>
                      <w:rFonts w:hint="eastAsia"/>
                    </w:rPr>
                    <w:t>Αποτέλεσμα προ φόρων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-40.777,94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-37.816,76</w:t>
                  </w:r>
                </w:p>
              </w:tc>
            </w:tr>
            <w:tr w:rsidR="00000000">
              <w:trPr>
                <w:trHeight w:val="275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  <w:sz w:val="22"/>
                      <w:szCs w:val="22"/>
                    </w:rPr>
                    <w:t>Φόροι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000000">
              <w:trPr>
                <w:trHeight w:val="594"/>
              </w:trPr>
              <w:tc>
                <w:tcPr>
                  <w:tcW w:w="59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E472A4">
                  <w:pPr>
                    <w:pStyle w:val="2"/>
                  </w:pPr>
                  <w:r>
                    <w:rPr>
                      <w:rFonts w:hint="eastAsia"/>
                    </w:rPr>
                    <w:t>Αποτέλεσμ</w:t>
                  </w:r>
                  <w:r>
                    <w:rPr>
                      <w:rFonts w:hint="eastAsia"/>
                    </w:rPr>
                    <w:t>α περιόδου μετά από φόρους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-40.777,94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000000" w:rsidRDefault="000C57E7">
                  <w:pPr>
                    <w:jc w:val="right"/>
                    <w:rPr>
                      <w:rFonts w:ascii="Tahoma" w:eastAsia="Arial Unicode MS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-37.816,76</w:t>
                  </w:r>
                </w:p>
              </w:tc>
            </w:tr>
          </w:tbl>
          <w:p w:rsidR="00000000" w:rsidRDefault="00E472A4">
            <w:pPr>
              <w:jc w:val="center"/>
              <w:rPr>
                <w:rFonts w:ascii="Tahoma" w:eastAsia="Arial Unicode MS" w:hAnsi="Tahoma" w:cs="Tahoma"/>
                <w:b/>
                <w:bCs/>
                <w:color w:val="000000"/>
                <w:sz w:val="28"/>
                <w:szCs w:val="22"/>
              </w:rPr>
            </w:pPr>
          </w:p>
        </w:tc>
      </w:tr>
    </w:tbl>
    <w:p w:rsidR="00000000" w:rsidRDefault="00E472A4">
      <w:pPr>
        <w:pStyle w:val="21"/>
        <w:rPr>
          <w:lang w:val="en-US"/>
        </w:rPr>
      </w:pPr>
    </w:p>
    <w:p w:rsidR="00000000" w:rsidRDefault="00E472A4">
      <w:pPr>
        <w:pStyle w:val="21"/>
        <w:rPr>
          <w:lang w:val="en-US"/>
        </w:rPr>
      </w:pPr>
    </w:p>
    <w:p w:rsidR="00000000" w:rsidRDefault="00E472A4">
      <w:pPr>
        <w:spacing w:line="360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b/>
          <w:bCs/>
          <w:color w:val="0000FF"/>
          <w:szCs w:val="20"/>
          <w:u w:val="single"/>
        </w:rPr>
        <w:t>Σημειώσεις Ισολογισμού</w:t>
      </w:r>
      <w:r>
        <w:rPr>
          <w:rFonts w:ascii="Tahoma" w:hAnsi="Tahoma" w:cs="Tahoma"/>
          <w:szCs w:val="20"/>
        </w:rPr>
        <w:t>:</w:t>
      </w:r>
    </w:p>
    <w:p w:rsidR="00000000" w:rsidRDefault="00E472A4">
      <w:pPr>
        <w:pStyle w:val="msolistparagraph0"/>
        <w:numPr>
          <w:ilvl w:val="0"/>
          <w:numId w:val="9"/>
        </w:numPr>
        <w:spacing w:line="360" w:lineRule="auto"/>
        <w:rPr>
          <w:rFonts w:ascii="Tahoma" w:eastAsia="Times New Roman" w:hAnsi="Tahoma" w:cs="Tahoma"/>
          <w:sz w:val="24"/>
          <w:szCs w:val="20"/>
        </w:rPr>
      </w:pPr>
      <w:r>
        <w:rPr>
          <w:rFonts w:ascii="Tahoma" w:eastAsia="Times New Roman" w:hAnsi="Tahoma" w:cs="Tahoma"/>
          <w:sz w:val="24"/>
          <w:szCs w:val="20"/>
        </w:rPr>
        <w:t xml:space="preserve">Η εταιρεία </w:t>
      </w:r>
      <w:r w:rsidR="000C57E7">
        <w:rPr>
          <w:rFonts w:ascii="Tahoma" w:eastAsia="Times New Roman" w:hAnsi="Tahoma" w:cs="Tahoma"/>
          <w:sz w:val="24"/>
          <w:szCs w:val="20"/>
        </w:rPr>
        <w:t>δεν έχει αποκτήσει δικές της μετοχές είτε η ίδια είτε με πρόσωπο που ενεργεί στο όνομά του αλλά για λογαριασμό της</w:t>
      </w:r>
      <w:r>
        <w:rPr>
          <w:rFonts w:ascii="Tahoma" w:eastAsia="Times New Roman" w:hAnsi="Tahoma" w:cs="Tahoma"/>
          <w:sz w:val="24"/>
          <w:szCs w:val="20"/>
        </w:rPr>
        <w:t>.</w:t>
      </w:r>
    </w:p>
    <w:p w:rsidR="00000000" w:rsidRDefault="00E472A4">
      <w:pPr>
        <w:pStyle w:val="msolistparagraph0"/>
        <w:numPr>
          <w:ilvl w:val="0"/>
          <w:numId w:val="9"/>
        </w:numPr>
        <w:spacing w:line="360" w:lineRule="auto"/>
        <w:rPr>
          <w:rFonts w:ascii="Tahoma" w:eastAsia="Times New Roman" w:hAnsi="Tahoma" w:cs="Tahoma"/>
          <w:sz w:val="24"/>
          <w:szCs w:val="20"/>
        </w:rPr>
      </w:pPr>
      <w:r>
        <w:rPr>
          <w:rFonts w:ascii="Tahoma" w:eastAsia="Times New Roman" w:hAnsi="Tahoma" w:cs="Tahoma"/>
          <w:sz w:val="24"/>
          <w:szCs w:val="20"/>
        </w:rPr>
        <w:t xml:space="preserve">Το καταβεβλημένο μετοχικό κεφάλαιο τέλους χρήσης ανέρχεται στο ποσό των </w:t>
      </w:r>
      <w:r w:rsidR="000C57E7">
        <w:rPr>
          <w:rFonts w:ascii="Tahoma" w:eastAsia="Times New Roman" w:hAnsi="Tahoma" w:cs="Tahoma"/>
          <w:sz w:val="24"/>
          <w:szCs w:val="20"/>
        </w:rPr>
        <w:t>1.170.000,00</w:t>
      </w:r>
      <w:r>
        <w:rPr>
          <w:rFonts w:ascii="Tahoma" w:eastAsia="Times New Roman" w:hAnsi="Tahoma" w:cs="Tahoma"/>
          <w:sz w:val="24"/>
          <w:szCs w:val="20"/>
        </w:rPr>
        <w:t>€.</w:t>
      </w:r>
    </w:p>
    <w:p w:rsidR="00000000" w:rsidRDefault="00E472A4">
      <w:pPr>
        <w:pStyle w:val="msolistparagraph0"/>
        <w:numPr>
          <w:ilvl w:val="0"/>
          <w:numId w:val="9"/>
        </w:numPr>
        <w:spacing w:line="360" w:lineRule="auto"/>
      </w:pPr>
      <w:r>
        <w:rPr>
          <w:rFonts w:ascii="Tahoma" w:eastAsia="Times New Roman" w:hAnsi="Tahoma" w:cs="Tahoma"/>
          <w:sz w:val="24"/>
          <w:szCs w:val="20"/>
        </w:rPr>
        <w:t>Το σύνολο των ιδίων κεφαλαίων τέλους χρήσης ανέρχε</w:t>
      </w:r>
      <w:r>
        <w:rPr>
          <w:rFonts w:ascii="Tahoma" w:eastAsia="Times New Roman" w:hAnsi="Tahoma" w:cs="Tahoma"/>
          <w:sz w:val="24"/>
          <w:szCs w:val="20"/>
        </w:rPr>
        <w:t xml:space="preserve">ται στο ποσό των </w:t>
      </w:r>
      <w:r w:rsidR="000C57E7">
        <w:rPr>
          <w:rFonts w:ascii="Tahoma" w:eastAsia="Times New Roman" w:hAnsi="Tahoma" w:cs="Tahoma"/>
          <w:sz w:val="24"/>
          <w:szCs w:val="20"/>
        </w:rPr>
        <w:t>571.304,87</w:t>
      </w:r>
      <w:r>
        <w:rPr>
          <w:rFonts w:ascii="Tahoma" w:eastAsia="Times New Roman" w:hAnsi="Tahoma" w:cs="Tahoma"/>
          <w:sz w:val="24"/>
          <w:szCs w:val="20"/>
        </w:rPr>
        <w:t>€.</w:t>
      </w:r>
    </w:p>
    <w:p w:rsidR="00000000" w:rsidRDefault="00E472A4">
      <w:pPr>
        <w:pStyle w:val="msolistparagraph0"/>
        <w:spacing w:line="360" w:lineRule="auto"/>
        <w:ind w:left="0"/>
      </w:pPr>
    </w:p>
    <w:p w:rsidR="00000000" w:rsidRDefault="00E472A4">
      <w:pPr>
        <w:pStyle w:val="21"/>
      </w:pPr>
      <w:r>
        <w:t>Η παραπάνω οντότητα εντάσσεται σύμφωνα με τον Νόμο στις πολύ μικρές οντότητες και είναι υπόχρεη στην σύνταξη (Β5 και Β6) Ισολογισμού.</w:t>
      </w:r>
    </w:p>
    <w:p w:rsidR="00000000" w:rsidRDefault="00E472A4">
      <w:pPr>
        <w:pStyle w:val="21"/>
      </w:pPr>
    </w:p>
    <w:p w:rsidR="00000000" w:rsidRDefault="00E472A4">
      <w:pPr>
        <w:pStyle w:val="21"/>
      </w:pPr>
    </w:p>
    <w:tbl>
      <w:tblPr>
        <w:tblW w:w="10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F"/>
      </w:tblPr>
      <w:tblGrid>
        <w:gridCol w:w="4830"/>
        <w:gridCol w:w="5404"/>
      </w:tblGrid>
      <w:tr w:rsidR="00000000">
        <w:trPr>
          <w:trHeight w:val="424"/>
        </w:trPr>
        <w:tc>
          <w:tcPr>
            <w:tcW w:w="102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E472A4">
            <w:pPr>
              <w:jc w:val="center"/>
              <w:rPr>
                <w:rFonts w:ascii="Tahoma" w:eastAsia="Arial Unicode MS" w:hAnsi="Tahoma" w:cs="Tahoma"/>
              </w:rPr>
            </w:pPr>
            <w:r>
              <w:rPr>
                <w:rFonts w:ascii="Tahoma" w:hAnsi="Tahoma" w:cs="Tahoma"/>
                <w:b/>
                <w:bCs/>
                <w:color w:val="00B050"/>
                <w:sz w:val="28"/>
                <w:szCs w:val="22"/>
                <w:u w:val="single"/>
              </w:rPr>
              <w:t>Πρόσθετες πληροφορίες για την οντότητα σύμφωνα με το άρθ.29 Ν.4308/2014</w:t>
            </w:r>
          </w:p>
        </w:tc>
      </w:tr>
      <w:tr w:rsidR="00000000">
        <w:trPr>
          <w:trHeight w:val="295"/>
        </w:trPr>
        <w:tc>
          <w:tcPr>
            <w:tcW w:w="48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472A4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Η οντότητα λ</w:t>
            </w:r>
            <w:r>
              <w:rPr>
                <w:rFonts w:ascii="Arial Narrow" w:hAnsi="Arial Narrow"/>
                <w:sz w:val="20"/>
                <w:szCs w:val="20"/>
              </w:rPr>
              <w:t xml:space="preserve">ειτουργεί με την παραδοχή της συνεχιζόμενης δραστηριότητας, ή όχι ; </w:t>
            </w:r>
            <w:r>
              <w:rPr>
                <w:rFonts w:ascii="Arial Narrow" w:hAnsi="Arial Narrow"/>
                <w:sz w:val="14"/>
                <w:szCs w:val="14"/>
              </w:rPr>
              <w:t xml:space="preserve"> ( Παρ. 3 (στ)  άρθρου 29 )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0C57E7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Η διοίκηση εκτιμά ότι η παραδοχή της συνεχιζόμενης δραστηριότητας είναι ενδεδειγμένη για την κατάρτιση των χρηματοοικονομικών καταστάσεων.</w:t>
            </w:r>
          </w:p>
        </w:tc>
      </w:tr>
      <w:tr w:rsidR="00000000">
        <w:trPr>
          <w:trHeight w:val="527"/>
        </w:trPr>
        <w:tc>
          <w:tcPr>
            <w:tcW w:w="48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472A4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Εκκαθάριση </w:t>
            </w:r>
            <w:r>
              <w:rPr>
                <w:rFonts w:ascii="Arial Narrow" w:hAnsi="Arial Narrow"/>
                <w:sz w:val="14"/>
                <w:szCs w:val="14"/>
              </w:rPr>
              <w:t>( Παρ. 3(ζ)  άρθρου 29 )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0C57E7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Η οντότητα δεν έχει τεθεί σε εκκαθάριση</w:t>
            </w:r>
          </w:p>
        </w:tc>
      </w:tr>
      <w:tr w:rsidR="00000000">
        <w:trPr>
          <w:trHeight w:val="535"/>
        </w:trPr>
        <w:tc>
          <w:tcPr>
            <w:tcW w:w="48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472A4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Κατηγορία οντότητας </w:t>
            </w:r>
            <w:r>
              <w:rPr>
                <w:rFonts w:ascii="Arial Narrow" w:hAnsi="Arial Narrow"/>
                <w:sz w:val="14"/>
                <w:szCs w:val="14"/>
              </w:rPr>
              <w:t>( Παρ. 3(η) άρθρου 29 )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0C57E7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Η εταιρεία  ανήκει στην κατηγορία (πολύ μικρή, μικρή, μεσαία, μεγάλη, δημοσίου συμφέροντος) οντότητα.</w:t>
            </w:r>
          </w:p>
        </w:tc>
      </w:tr>
      <w:tr w:rsidR="00000000">
        <w:trPr>
          <w:trHeight w:val="515"/>
        </w:trPr>
        <w:tc>
          <w:tcPr>
            <w:tcW w:w="48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472A4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Κατάρτιση χρηματοοικονομικών καταστάσεων </w:t>
            </w:r>
            <w:r>
              <w:rPr>
                <w:rFonts w:ascii="Arial Narrow" w:hAnsi="Arial Narrow"/>
                <w:sz w:val="14"/>
                <w:szCs w:val="14"/>
              </w:rPr>
              <w:t>( Παρ. 3(</w:t>
            </w:r>
            <w:r>
              <w:rPr>
                <w:rFonts w:ascii="Arial Narrow" w:hAnsi="Arial Narrow"/>
                <w:sz w:val="14"/>
                <w:szCs w:val="14"/>
              </w:rPr>
              <w:t>θ)  άρθρου 29 )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0C57E7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Η διοίκηση δηλώνει ότι οι χρηματοοικονομικές καταστάσεις έχουν καταρτιστεί σε πλήρη συμφωνία με τον παρόντα νόμο.</w:t>
            </w:r>
          </w:p>
        </w:tc>
      </w:tr>
      <w:tr w:rsidR="00000000">
        <w:trPr>
          <w:trHeight w:val="537"/>
        </w:trPr>
        <w:tc>
          <w:tcPr>
            <w:tcW w:w="48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472A4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Προκαταβολές και πιστώσεις σε μέλη Δ.Σ. </w:t>
            </w:r>
            <w:r>
              <w:rPr>
                <w:rFonts w:ascii="Arial Narrow" w:hAnsi="Arial Narrow"/>
                <w:sz w:val="14"/>
                <w:szCs w:val="14"/>
              </w:rPr>
              <w:t>( Παρ. 25  άρθρου 29 )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0C57E7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Δεν υπάρχουν τέτοια κονδύλια.</w:t>
            </w:r>
          </w:p>
        </w:tc>
      </w:tr>
      <w:tr w:rsidR="00000000">
        <w:trPr>
          <w:trHeight w:val="608"/>
        </w:trPr>
        <w:tc>
          <w:tcPr>
            <w:tcW w:w="48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472A4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Χρηματοοικονομικές δεσμεύσεις-εγγυήσεις </w:t>
            </w:r>
            <w:r>
              <w:rPr>
                <w:rFonts w:ascii="Arial Narrow" w:hAnsi="Arial Narrow"/>
                <w:sz w:val="14"/>
                <w:szCs w:val="14"/>
              </w:rPr>
              <w:t>( Παρ. 16  άρθρου 29 )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0C57E7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Δεν συντρέχει περίπτωση καθώς δεν βρέθηκαν συμβάσεις λειτουργικών μισθώσεων και εγγυητικές επιστολές προς διαφόρους τρίτους.</w:t>
            </w:r>
          </w:p>
        </w:tc>
      </w:tr>
      <w:tr w:rsidR="00000000">
        <w:trPr>
          <w:trHeight w:val="608"/>
        </w:trPr>
        <w:tc>
          <w:tcPr>
            <w:tcW w:w="48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472A4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Χρηματοοικονομικές καταστάσεις που συντάχθηκαν </w:t>
            </w:r>
            <w:r>
              <w:rPr>
                <w:rFonts w:ascii="Arial Narrow" w:hAnsi="Arial Narrow"/>
                <w:sz w:val="14"/>
                <w:szCs w:val="14"/>
              </w:rPr>
              <w:t>( Παρ. 34  άρθρου 29 )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0C57E7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Συντάχθηκαν οι κατά νόμο χρηματοοικονομικές καταστάσεις σύμφωνα με τα υποδείγματα του Ν.4308/2014.</w:t>
            </w:r>
          </w:p>
        </w:tc>
      </w:tr>
      <w:tr w:rsidR="00000000">
        <w:trPr>
          <w:trHeight w:val="531"/>
        </w:trPr>
        <w:tc>
          <w:tcPr>
            <w:tcW w:w="48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472A4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Μέσος όρος απασχολούμενων στη περίοδο. </w:t>
            </w:r>
            <w:r>
              <w:rPr>
                <w:rFonts w:ascii="Arial Narrow" w:hAnsi="Arial Narrow" w:cs="Tahoma"/>
                <w:sz w:val="14"/>
                <w:szCs w:val="14"/>
              </w:rPr>
              <w:t>( Παρ. 23α  άρθρου 29 )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Pr="00025D81" w:rsidRDefault="00025D81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0</w:t>
            </w:r>
          </w:p>
        </w:tc>
      </w:tr>
      <w:tr w:rsidR="00000000">
        <w:trPr>
          <w:trHeight w:val="512"/>
        </w:trPr>
        <w:tc>
          <w:tcPr>
            <w:tcW w:w="48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E472A4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Σημειώσεις</w:t>
            </w:r>
          </w:p>
        </w:tc>
        <w:tc>
          <w:tcPr>
            <w:tcW w:w="5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0C57E7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Η πρώτη εφαρμογή των κανόνων αποτιμήσεως και συντάξεως χρηματοοικονομικών καταστάσεων αντιμετωπίζεται ως αλλαγή λογιστικών αρχών και μεθόδων.</w:t>
            </w:r>
          </w:p>
        </w:tc>
      </w:tr>
    </w:tbl>
    <w:p w:rsidR="00000000" w:rsidRDefault="00E472A4">
      <w:pPr>
        <w:pStyle w:val="21"/>
      </w:pPr>
    </w:p>
    <w:p w:rsidR="00000000" w:rsidRDefault="00E472A4">
      <w:pPr>
        <w:pStyle w:val="21"/>
        <w:jc w:val="center"/>
      </w:pPr>
      <w:r>
        <w:t>Για την οντότητα ο επιτηδευματίας</w:t>
      </w:r>
    </w:p>
    <w:p w:rsidR="00000000" w:rsidRDefault="00E472A4">
      <w:pPr>
        <w:pStyle w:val="21"/>
        <w:jc w:val="center"/>
        <w:rPr>
          <w:lang w:val="en-US"/>
        </w:rPr>
      </w:pPr>
    </w:p>
    <w:p w:rsidR="00000000" w:rsidRDefault="000C57E7">
      <w:pPr>
        <w:pStyle w:val="21"/>
        <w:jc w:val="center"/>
        <w:rPr>
          <w:lang w:val="en-US"/>
        </w:rPr>
      </w:pPr>
      <w:proofErr w:type="gramStart"/>
      <w:r>
        <w:rPr>
          <w:lang w:val="en-US"/>
        </w:rPr>
        <w:t>ΕΥΑΓΓΕΛΙΣΤΡΙΑΣ  25</w:t>
      </w:r>
      <w:proofErr w:type="gramEnd"/>
      <w:r>
        <w:rPr>
          <w:lang w:val="en-US"/>
        </w:rPr>
        <w:t xml:space="preserve"> 23100 ΣΠΑΡΤΗ</w:t>
      </w:r>
      <w:r w:rsidR="00E472A4">
        <w:t xml:space="preserve">, </w:t>
      </w:r>
      <w:r>
        <w:rPr>
          <w:lang w:val="en-US"/>
        </w:rPr>
        <w:t>29/07/2020</w:t>
      </w:r>
    </w:p>
    <w:p w:rsidR="00000000" w:rsidRDefault="00E472A4">
      <w:pPr>
        <w:pStyle w:val="21"/>
        <w:jc w:val="center"/>
        <w:rPr>
          <w:lang w:val="en-US"/>
        </w:rPr>
      </w:pPr>
    </w:p>
    <w:tbl>
      <w:tblPr>
        <w:tblW w:w="0" w:type="auto"/>
        <w:tblLook w:val="0000"/>
      </w:tblPr>
      <w:tblGrid>
        <w:gridCol w:w="3432"/>
        <w:gridCol w:w="3432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32" w:type="dxa"/>
            <w:vAlign w:val="center"/>
          </w:tcPr>
          <w:p w:rsidR="00000000" w:rsidRDefault="000C57E7">
            <w:pPr>
              <w:pStyle w:val="21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</w:tc>
        <w:tc>
          <w:tcPr>
            <w:tcW w:w="3432" w:type="dxa"/>
            <w:vAlign w:val="center"/>
          </w:tcPr>
          <w:p w:rsidR="00000000" w:rsidRDefault="000C57E7">
            <w:pPr>
              <w:pStyle w:val="21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</w:tc>
        <w:tc>
          <w:tcPr>
            <w:tcW w:w="3432" w:type="dxa"/>
            <w:vAlign w:val="center"/>
          </w:tcPr>
          <w:p w:rsidR="00000000" w:rsidRDefault="000C57E7">
            <w:pPr>
              <w:pStyle w:val="21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</w:tc>
      </w:tr>
    </w:tbl>
    <w:p w:rsidR="00E472A4" w:rsidRDefault="00E472A4">
      <w:pPr>
        <w:pStyle w:val="21"/>
        <w:rPr>
          <w:lang w:val="fr-FR"/>
        </w:rPr>
      </w:pPr>
    </w:p>
    <w:sectPr w:rsidR="00E472A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40" w:right="92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A4" w:rsidRDefault="00E472A4">
      <w:r>
        <w:separator/>
      </w:r>
    </w:p>
  </w:endnote>
  <w:endnote w:type="continuationSeparator" w:id="0">
    <w:p w:rsidR="00E472A4" w:rsidRDefault="00E47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2A4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E472A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2A4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5D81">
      <w:rPr>
        <w:rStyle w:val="a5"/>
        <w:noProof/>
      </w:rPr>
      <w:t>2</w:t>
    </w:r>
    <w:r>
      <w:rPr>
        <w:rStyle w:val="a5"/>
      </w:rPr>
      <w:fldChar w:fldCharType="end"/>
    </w:r>
  </w:p>
  <w:p w:rsidR="00000000" w:rsidRDefault="00E472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A4" w:rsidRDefault="00E472A4">
      <w:r>
        <w:separator/>
      </w:r>
    </w:p>
  </w:footnote>
  <w:footnote w:type="continuationSeparator" w:id="0">
    <w:p w:rsidR="00E472A4" w:rsidRDefault="00E47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2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E472A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2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5D81">
      <w:rPr>
        <w:rStyle w:val="a5"/>
        <w:noProof/>
      </w:rPr>
      <w:t>2</w:t>
    </w:r>
    <w:r>
      <w:rPr>
        <w:rStyle w:val="a5"/>
      </w:rPr>
      <w:fldChar w:fldCharType="end"/>
    </w:r>
  </w:p>
  <w:p w:rsidR="00000000" w:rsidRDefault="00E472A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872"/>
    <w:multiLevelType w:val="hybridMultilevel"/>
    <w:tmpl w:val="E996D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437EF"/>
    <w:multiLevelType w:val="hybridMultilevel"/>
    <w:tmpl w:val="1680A67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F6B1EC0"/>
    <w:multiLevelType w:val="hybridMultilevel"/>
    <w:tmpl w:val="B47468FA"/>
    <w:lvl w:ilvl="0" w:tplc="0408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>
    <w:nsid w:val="540C1406"/>
    <w:multiLevelType w:val="hybridMultilevel"/>
    <w:tmpl w:val="E202FA6C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6A6695D"/>
    <w:multiLevelType w:val="singleLevel"/>
    <w:tmpl w:val="B9BA8C3A"/>
    <w:lvl w:ilvl="0">
      <w:start w:val="7"/>
      <w:numFmt w:val="bullet"/>
      <w:lvlText w:val="-"/>
      <w:lvlJc w:val="left"/>
      <w:pPr>
        <w:tabs>
          <w:tab w:val="num" w:pos="735"/>
        </w:tabs>
        <w:ind w:left="735" w:hanging="360"/>
      </w:pPr>
    </w:lvl>
  </w:abstractNum>
  <w:abstractNum w:abstractNumId="5">
    <w:nsid w:val="5FAD39A1"/>
    <w:multiLevelType w:val="hybridMultilevel"/>
    <w:tmpl w:val="388A544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715AD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45F30CE"/>
    <w:multiLevelType w:val="singleLevel"/>
    <w:tmpl w:val="1084E578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8">
    <w:nsid w:val="7A3F157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  <w:lvlOverride w:ilvl="0">
      <w:startOverride w:val="1"/>
    </w:lvlOverride>
  </w:num>
  <w:num w:numId="2">
    <w:abstractNumId w:val="7"/>
    <w:lvlOverride w:ilvl="0">
      <w:startOverride w:val="6"/>
    </w:lvlOverride>
  </w:num>
  <w:num w:numId="3">
    <w:abstractNumId w:val="4"/>
    <w:lvlOverride w:ilvl="0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7E7"/>
    <w:rsid w:val="00025D81"/>
    <w:rsid w:val="000C57E7"/>
    <w:rsid w:val="00E4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ahoma" w:hAnsi="Tahoma" w:cs="Tahoma"/>
      <w:b/>
      <w:bCs/>
      <w:color w:val="000000"/>
      <w:sz w:val="28"/>
      <w:szCs w:val="22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ahoma" w:hAnsi="Tahoma" w:cs="Tahoma"/>
      <w:b/>
      <w:bCs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Subtitle"/>
    <w:basedOn w:val="a"/>
    <w:qFormat/>
    <w:pPr>
      <w:jc w:val="both"/>
    </w:pPr>
    <w:rPr>
      <w:sz w:val="26"/>
      <w:szCs w:val="20"/>
    </w:rPr>
  </w:style>
  <w:style w:type="paragraph" w:styleId="20">
    <w:name w:val="Body Text Indent 2"/>
    <w:basedOn w:val="a"/>
    <w:semiHidden/>
    <w:pPr>
      <w:ind w:left="-426"/>
      <w:jc w:val="both"/>
    </w:pPr>
    <w:rPr>
      <w:szCs w:val="20"/>
    </w:r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-142" w:firstLine="142"/>
      <w:jc w:val="center"/>
    </w:pPr>
    <w:rPr>
      <w:rFonts w:ascii="Verdana" w:hAnsi="Verdana" w:cs="Tahoma"/>
      <w:b/>
    </w:rPr>
  </w:style>
  <w:style w:type="paragraph" w:styleId="a7">
    <w:name w:val="Body Text"/>
    <w:basedOn w:val="a"/>
    <w:semiHidden/>
    <w:pPr>
      <w:autoSpaceDE w:val="0"/>
      <w:autoSpaceDN w:val="0"/>
      <w:adjustRightInd w:val="0"/>
      <w:jc w:val="both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semiHidden/>
    <w:pPr>
      <w:jc w:val="both"/>
    </w:pPr>
    <w:rPr>
      <w:rFonts w:ascii="Tahoma" w:hAnsi="Tahoma" w:cs="Tahoma"/>
      <w:szCs w:val="20"/>
    </w:rPr>
  </w:style>
  <w:style w:type="paragraph" w:styleId="3">
    <w:name w:val="Body Text Indent 3"/>
    <w:basedOn w:val="a"/>
    <w:semiHidden/>
    <w:pPr>
      <w:ind w:left="426"/>
      <w:jc w:val="both"/>
    </w:pPr>
    <w:rPr>
      <w:rFonts w:ascii="Tahoma" w:hAnsi="Tahoma" w:cs="Tahoma"/>
      <w:szCs w:val="20"/>
    </w:rPr>
  </w:style>
  <w:style w:type="paragraph" w:customStyle="1" w:styleId="msolistparagraph0">
    <w:name w:val="msolist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imi\bin\&#928;&#929;&#913;&#922;&#932;&#921;&#922;&#927;%20&#915;&#917;&#924;&#919;%20&#917;&#932;&#913;&#921;&#929;&#917;&#921;&#913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ΠΡΑΚΤΙΚΟ ΓΕΜΗ ΕΤΑΙΡΕΙΑΣ</Template>
  <TotalTime>1</TotalTime>
  <Pages>3</Pages>
  <Words>647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ΠΡΟΣΑΡΤΗΜΑ</vt:lpstr>
    </vt:vector>
  </TitlesOfParts>
  <Company>ΚΑΡΠΟΔΙΝΗΣ ΔΗΜΗΤΡΗΣ - WWW.TAXHEAVEN.GR TEL. 6979009630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ΠΡΟΣΑΡΤΗΜΑ</dc:title>
  <dc:creator>ΚΑΡΠΟΔΙΝΗΣ ΔΗΜΗΤΡΗΣ - WWW.TAXHEAVEN.GR TEL. 6979009630</dc:creator>
  <cp:lastModifiedBy>u1</cp:lastModifiedBy>
  <cp:revision>2</cp:revision>
  <cp:lastPrinted>1601-01-01T00:00:00Z</cp:lastPrinted>
  <dcterms:created xsi:type="dcterms:W3CDTF">2020-07-29T11:00:00Z</dcterms:created>
  <dcterms:modified xsi:type="dcterms:W3CDTF">2020-07-29T11:00:00Z</dcterms:modified>
</cp:coreProperties>
</file>